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6D060" w14:textId="433351D7" w:rsidR="00CC1FE9" w:rsidRPr="00CC1FE9" w:rsidRDefault="00680C94" w:rsidP="00CC1FE9">
      <w:pPr>
        <w:jc w:val="center"/>
        <w:rPr>
          <w:rFonts w:ascii="Arial" w:hAnsi="Arial" w:cs="Arial"/>
          <w:b/>
          <w:bCs/>
        </w:rPr>
      </w:pPr>
      <w:r w:rsidRPr="00CC1FE9">
        <w:rPr>
          <w:rFonts w:ascii="Arial" w:hAnsi="Arial" w:cs="Arial"/>
          <w:b/>
          <w:bCs/>
        </w:rPr>
        <w:t>SPECIAL NOTICE:</w:t>
      </w:r>
    </w:p>
    <w:p w14:paraId="3A17C338" w14:textId="4179E86F" w:rsidR="00680C94" w:rsidRPr="00CC1FE9" w:rsidRDefault="00680C94" w:rsidP="00CC1FE9">
      <w:pPr>
        <w:jc w:val="center"/>
        <w:rPr>
          <w:rFonts w:ascii="Arial" w:hAnsi="Arial" w:cs="Arial"/>
          <w:b/>
          <w:bCs/>
        </w:rPr>
      </w:pPr>
      <w:r w:rsidRPr="00CC1FE9">
        <w:rPr>
          <w:rFonts w:ascii="Arial" w:hAnsi="Arial" w:cs="Arial"/>
          <w:b/>
          <w:bCs/>
        </w:rPr>
        <w:t>INVITATION TO PARTICIPATE IN THE DEPARTMENT OF WAR DRONE OTA CONSORTIUM</w:t>
      </w:r>
    </w:p>
    <w:p w14:paraId="3CA91FAC" w14:textId="06D51C98" w:rsidR="00680C94" w:rsidRDefault="00680C94" w:rsidP="00680C94">
      <w:pPr>
        <w:shd w:val="clear" w:color="auto" w:fill="FFFFFF"/>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The Department of War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invites industry and academic partners to apply for participation in the newly established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Drone Other Transaction Authority (OTA) Consortium. Executed under the statutory authority of 10 U.S.C. § 4022, this Consortium serves as a streamlined acquisition channel designed to accelerate the rapid prototyping and subsequent fielding of innovative </w:t>
      </w:r>
      <w:r>
        <w:rPr>
          <w:rFonts w:ascii="Arial" w:eastAsia="Times New Roman" w:hAnsi="Arial" w:cs="Arial"/>
          <w:color w:val="1F1F1F"/>
          <w:kern w:val="0"/>
          <w14:ligatures w14:val="none"/>
        </w:rPr>
        <w:t>drone</w:t>
      </w:r>
      <w:r w:rsidRPr="00680C94">
        <w:rPr>
          <w:rFonts w:ascii="Arial" w:eastAsia="Times New Roman" w:hAnsi="Arial" w:cs="Arial"/>
          <w:color w:val="1F1F1F"/>
          <w:kern w:val="0"/>
          <w14:ligatures w14:val="none"/>
        </w:rPr>
        <w:t xml:space="preserve"> systems and warfighter solutions.</w:t>
      </w:r>
    </w:p>
    <w:p w14:paraId="7347DE77" w14:textId="77777777" w:rsidR="00CC1FE9" w:rsidRPr="00680C94" w:rsidRDefault="00CC1FE9" w:rsidP="00680C94">
      <w:pPr>
        <w:shd w:val="clear" w:color="auto" w:fill="FFFFFF"/>
        <w:spacing w:after="0" w:line="240" w:lineRule="auto"/>
        <w:rPr>
          <w:rFonts w:ascii="Arial" w:eastAsia="Times New Roman" w:hAnsi="Arial" w:cs="Arial"/>
          <w:color w:val="1F1F1F"/>
          <w:kern w:val="0"/>
          <w14:ligatures w14:val="none"/>
        </w:rPr>
      </w:pPr>
    </w:p>
    <w:p w14:paraId="52CCCA78" w14:textId="77777777" w:rsidR="00680C94" w:rsidRPr="00CC1FE9" w:rsidRDefault="00680C94" w:rsidP="00CC1FE9">
      <w:pPr>
        <w:rPr>
          <w:rFonts w:ascii="Arial" w:hAnsi="Arial" w:cs="Arial"/>
          <w:b/>
          <w:bCs/>
        </w:rPr>
      </w:pPr>
      <w:r w:rsidRPr="00CC1FE9">
        <w:rPr>
          <w:rFonts w:ascii="Arial" w:hAnsi="Arial" w:cs="Arial"/>
          <w:b/>
          <w:bCs/>
        </w:rPr>
        <w:t>Purpose and Scope</w:t>
      </w:r>
    </w:p>
    <w:p w14:paraId="158039E9" w14:textId="77777777" w:rsidR="00680C94" w:rsidRPr="00680C94" w:rsidRDefault="00680C94" w:rsidP="00680C94">
      <w:pPr>
        <w:shd w:val="clear" w:color="auto" w:fill="FFFFFF"/>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The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Drone OTA Consortium bridges the critical gap between the Government and the commercial technology sector. Governed by a Government Steering Committee (GSC), the Consortium facilitates the rapid solicitation, evaluation, and award of Prototype and Production OTAs addressing specific Areas of Interest (AOIs) and Statements of Need (SONs).</w:t>
      </w:r>
    </w:p>
    <w:p w14:paraId="733A4ABA" w14:textId="64202D62" w:rsidR="00680C94" w:rsidRPr="00680C94" w:rsidRDefault="00680C94" w:rsidP="00680C94">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This agile framework enables the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and authorized partner agencies to bypass traditional, lengthy acquisition cycles, ensuring that cutting-edge drone technologies reach the warfighter at the speed of relevance.</w:t>
      </w:r>
      <w:r w:rsidR="00CC1FE9">
        <w:rPr>
          <w:rFonts w:ascii="Arial" w:eastAsia="Times New Roman" w:hAnsi="Arial" w:cs="Arial"/>
          <w:color w:val="1F1F1F"/>
          <w:kern w:val="0"/>
          <w14:ligatures w14:val="none"/>
        </w:rPr>
        <w:t xml:space="preserve"> </w:t>
      </w:r>
      <w:r w:rsidRPr="00680C94">
        <w:rPr>
          <w:rFonts w:ascii="Arial" w:eastAsia="Times New Roman" w:hAnsi="Arial" w:cs="Arial"/>
          <w:i/>
          <w:iCs/>
          <w:color w:val="1F1F1F"/>
          <w:kern w:val="0"/>
          <w14:ligatures w14:val="none"/>
        </w:rPr>
        <w:t>(Note: This Consortium will not be utilized for the acquisition of advisory and assistance services).</w:t>
      </w:r>
    </w:p>
    <w:p w14:paraId="3E505F9C" w14:textId="77777777" w:rsidR="00680C94" w:rsidRDefault="00680C94" w:rsidP="00CC1FE9">
      <w:pPr>
        <w:shd w:val="clear" w:color="auto" w:fill="FFFFFF"/>
        <w:spacing w:after="0" w:line="240" w:lineRule="auto"/>
        <w:rPr>
          <w:rFonts w:ascii="Arial" w:eastAsia="Times New Roman" w:hAnsi="Arial" w:cs="Arial"/>
          <w:b/>
          <w:bCs/>
          <w:color w:val="1F1F1F"/>
          <w:kern w:val="0"/>
          <w14:ligatures w14:val="none"/>
        </w:rPr>
      </w:pPr>
      <w:r w:rsidRPr="00CC1FE9">
        <w:rPr>
          <w:rFonts w:ascii="Arial" w:eastAsia="Times New Roman" w:hAnsi="Arial" w:cs="Arial"/>
          <w:b/>
          <w:bCs/>
          <w:color w:val="1F1F1F"/>
          <w:kern w:val="0"/>
          <w14:ligatures w14:val="none"/>
        </w:rPr>
        <w:t>Why Join the Consortium?</w:t>
      </w:r>
    </w:p>
    <w:p w14:paraId="6154A150" w14:textId="77777777" w:rsidR="00CC1FE9" w:rsidRPr="00CC1FE9" w:rsidRDefault="00CC1FE9" w:rsidP="00CC1FE9">
      <w:pPr>
        <w:shd w:val="clear" w:color="auto" w:fill="FFFFFF"/>
        <w:spacing w:after="0" w:line="240" w:lineRule="auto"/>
        <w:rPr>
          <w:rFonts w:ascii="Arial" w:eastAsia="Times New Roman" w:hAnsi="Arial" w:cs="Arial"/>
          <w:b/>
          <w:bCs/>
          <w:color w:val="1F1F1F"/>
          <w:kern w:val="0"/>
          <w14:ligatures w14:val="none"/>
        </w:rPr>
      </w:pPr>
    </w:p>
    <w:p w14:paraId="2C70BC3D" w14:textId="543181CC" w:rsidR="00680C94" w:rsidRDefault="00680C94" w:rsidP="00680C94">
      <w:pPr>
        <w:shd w:val="clear" w:color="auto" w:fill="FFFFFF"/>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Participation offers approved vendors a highly competitive, alternative pathway to collaborate directly with the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U.S. Federal Agencies, </w:t>
      </w:r>
      <w:r w:rsidR="00CC1FE9">
        <w:rPr>
          <w:rFonts w:ascii="Arial" w:eastAsia="Times New Roman" w:hAnsi="Arial" w:cs="Arial"/>
          <w:color w:val="1F1F1F"/>
          <w:kern w:val="0"/>
          <w14:ligatures w14:val="none"/>
        </w:rPr>
        <w:t xml:space="preserve">U.S. Government Agencies </w:t>
      </w:r>
      <w:r w:rsidRPr="00680C94">
        <w:rPr>
          <w:rFonts w:ascii="Arial" w:eastAsia="Times New Roman" w:hAnsi="Arial" w:cs="Arial"/>
          <w:color w:val="1F1F1F"/>
          <w:kern w:val="0"/>
          <w14:ligatures w14:val="none"/>
        </w:rPr>
        <w:t>and Foreign Partner Nations.</w:t>
      </w:r>
    </w:p>
    <w:p w14:paraId="202CFE98" w14:textId="77777777" w:rsidR="00CC1FE9" w:rsidRPr="00680C94" w:rsidRDefault="00CC1FE9" w:rsidP="00680C94">
      <w:pPr>
        <w:shd w:val="clear" w:color="auto" w:fill="FFFFFF"/>
        <w:spacing w:after="0" w:line="240" w:lineRule="auto"/>
        <w:rPr>
          <w:rFonts w:ascii="Arial" w:eastAsia="Times New Roman" w:hAnsi="Arial" w:cs="Arial"/>
          <w:color w:val="1F1F1F"/>
          <w:kern w:val="0"/>
          <w14:ligatures w14:val="none"/>
        </w:rPr>
      </w:pPr>
    </w:p>
    <w:tbl>
      <w:tblPr>
        <w:tblW w:w="10620" w:type="dxa"/>
        <w:tblCellMar>
          <w:top w:w="15" w:type="dxa"/>
          <w:left w:w="15" w:type="dxa"/>
          <w:bottom w:w="15" w:type="dxa"/>
          <w:right w:w="15" w:type="dxa"/>
        </w:tblCellMar>
        <w:tblLook w:val="04A0" w:firstRow="1" w:lastRow="0" w:firstColumn="1" w:lastColumn="0" w:noHBand="0" w:noVBand="1"/>
      </w:tblPr>
      <w:tblGrid>
        <w:gridCol w:w="2044"/>
        <w:gridCol w:w="8576"/>
      </w:tblGrid>
      <w:tr w:rsidR="00680C94" w:rsidRPr="00680C94" w14:paraId="6756F3B6" w14:textId="77777777">
        <w:tc>
          <w:tcPr>
            <w:tcW w:w="0" w:type="auto"/>
            <w:tcBorders>
              <w:bottom w:val="single" w:sz="4" w:space="0" w:color="E1E3E1"/>
            </w:tcBorders>
            <w:tcMar>
              <w:top w:w="120" w:type="dxa"/>
              <w:left w:w="120" w:type="dxa"/>
              <w:bottom w:w="120" w:type="dxa"/>
              <w:right w:w="120" w:type="dxa"/>
            </w:tcMar>
            <w:hideMark/>
          </w:tcPr>
          <w:p w14:paraId="7BF23E75" w14:textId="77777777" w:rsidR="00680C94" w:rsidRPr="00CC1FE9" w:rsidRDefault="00680C94" w:rsidP="00680C94">
            <w:pPr>
              <w:spacing w:after="0" w:line="240" w:lineRule="auto"/>
              <w:jc w:val="center"/>
              <w:rPr>
                <w:rFonts w:ascii="Arial" w:eastAsia="Times New Roman" w:hAnsi="Arial" w:cs="Arial"/>
                <w:b/>
                <w:bCs/>
                <w:color w:val="1F1F1F"/>
                <w:kern w:val="0"/>
                <w14:ligatures w14:val="none"/>
              </w:rPr>
            </w:pPr>
            <w:r w:rsidRPr="00CC1FE9">
              <w:rPr>
                <w:rFonts w:ascii="Arial" w:eastAsia="Times New Roman" w:hAnsi="Arial" w:cs="Arial"/>
                <w:b/>
                <w:bCs/>
                <w:color w:val="1F1F1F"/>
                <w:kern w:val="0"/>
                <w14:ligatures w14:val="none"/>
              </w:rPr>
              <w:t>Consortium Advantage</w:t>
            </w:r>
          </w:p>
        </w:tc>
        <w:tc>
          <w:tcPr>
            <w:tcW w:w="0" w:type="auto"/>
            <w:tcBorders>
              <w:bottom w:val="single" w:sz="4" w:space="0" w:color="E1E3E1"/>
            </w:tcBorders>
            <w:tcMar>
              <w:top w:w="120" w:type="dxa"/>
              <w:left w:w="120" w:type="dxa"/>
              <w:bottom w:w="120" w:type="dxa"/>
              <w:right w:w="120" w:type="dxa"/>
            </w:tcMar>
            <w:hideMark/>
          </w:tcPr>
          <w:p w14:paraId="17530797" w14:textId="77777777" w:rsidR="00680C94" w:rsidRPr="00CC1FE9" w:rsidRDefault="00680C94" w:rsidP="00680C94">
            <w:pPr>
              <w:spacing w:after="0" w:line="240" w:lineRule="auto"/>
              <w:jc w:val="center"/>
              <w:rPr>
                <w:rFonts w:ascii="Arial" w:eastAsia="Times New Roman" w:hAnsi="Arial" w:cs="Arial"/>
                <w:b/>
                <w:bCs/>
                <w:color w:val="1F1F1F"/>
                <w:kern w:val="0"/>
                <w14:ligatures w14:val="none"/>
              </w:rPr>
            </w:pPr>
            <w:r w:rsidRPr="00CC1FE9">
              <w:rPr>
                <w:rFonts w:ascii="Arial" w:eastAsia="Times New Roman" w:hAnsi="Arial" w:cs="Arial"/>
                <w:b/>
                <w:bCs/>
                <w:color w:val="1F1F1F"/>
                <w:kern w:val="0"/>
                <w14:ligatures w14:val="none"/>
              </w:rPr>
              <w:t>Operational Benefit</w:t>
            </w:r>
          </w:p>
        </w:tc>
      </w:tr>
      <w:tr w:rsidR="00680C94" w:rsidRPr="00680C94" w14:paraId="497E376A" w14:textId="77777777">
        <w:tc>
          <w:tcPr>
            <w:tcW w:w="0" w:type="auto"/>
            <w:tcBorders>
              <w:bottom w:val="single" w:sz="4" w:space="0" w:color="E1E3E1"/>
            </w:tcBorders>
            <w:tcMar>
              <w:top w:w="120" w:type="dxa"/>
              <w:left w:w="120" w:type="dxa"/>
              <w:bottom w:w="120" w:type="dxa"/>
              <w:right w:w="120" w:type="dxa"/>
            </w:tcMar>
            <w:hideMark/>
          </w:tcPr>
          <w:p w14:paraId="0DD06E61"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Streamlined Solicitations</w:t>
            </w:r>
          </w:p>
        </w:tc>
        <w:tc>
          <w:tcPr>
            <w:tcW w:w="0" w:type="auto"/>
            <w:tcBorders>
              <w:bottom w:val="single" w:sz="4" w:space="0" w:color="E1E3E1"/>
            </w:tcBorders>
            <w:tcMar>
              <w:top w:w="120" w:type="dxa"/>
              <w:left w:w="120" w:type="dxa"/>
              <w:bottom w:w="120" w:type="dxa"/>
              <w:right w:w="120" w:type="dxa"/>
            </w:tcMar>
            <w:hideMark/>
          </w:tcPr>
          <w:p w14:paraId="102729E0"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Direct access to exclusive, problem-focused Requests for Whitepapers (RWPs) and Requests for Solutions (RFSs).</w:t>
            </w:r>
          </w:p>
        </w:tc>
      </w:tr>
      <w:tr w:rsidR="00680C94" w:rsidRPr="00680C94" w14:paraId="61F9118F" w14:textId="77777777">
        <w:tc>
          <w:tcPr>
            <w:tcW w:w="0" w:type="auto"/>
            <w:tcBorders>
              <w:bottom w:val="single" w:sz="4" w:space="0" w:color="E1E3E1"/>
            </w:tcBorders>
            <w:tcMar>
              <w:top w:w="120" w:type="dxa"/>
              <w:left w:w="120" w:type="dxa"/>
              <w:bottom w:w="120" w:type="dxa"/>
              <w:right w:w="120" w:type="dxa"/>
            </w:tcMar>
            <w:hideMark/>
          </w:tcPr>
          <w:p w14:paraId="0A20AA76"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Phased Evaluations</w:t>
            </w:r>
          </w:p>
        </w:tc>
        <w:tc>
          <w:tcPr>
            <w:tcW w:w="0" w:type="auto"/>
            <w:tcBorders>
              <w:bottom w:val="single" w:sz="4" w:space="0" w:color="E1E3E1"/>
            </w:tcBorders>
            <w:tcMar>
              <w:top w:w="120" w:type="dxa"/>
              <w:left w:w="120" w:type="dxa"/>
              <w:bottom w:w="120" w:type="dxa"/>
              <w:right w:w="120" w:type="dxa"/>
            </w:tcMar>
            <w:hideMark/>
          </w:tcPr>
          <w:p w14:paraId="22383940"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Lowered administrative burden via a simplified three-phase process: 1) Solution Brief </w:t>
            </w:r>
            <w:r w:rsidRPr="00680C94">
              <w:rPr>
                <w:rFonts w:ascii="Segoe UI Symbol" w:eastAsia="Times New Roman" w:hAnsi="Segoe UI Symbol" w:cs="Segoe UI Symbol"/>
                <w:color w:val="1F1F1F"/>
                <w:kern w:val="0"/>
                <w14:ligatures w14:val="none"/>
              </w:rPr>
              <w:t>➔</w:t>
            </w:r>
            <w:r w:rsidRPr="00680C94">
              <w:rPr>
                <w:rFonts w:ascii="Arial" w:eastAsia="Times New Roman" w:hAnsi="Arial" w:cs="Arial"/>
                <w:color w:val="1F1F1F"/>
                <w:kern w:val="0"/>
                <w14:ligatures w14:val="none"/>
              </w:rPr>
              <w:t xml:space="preserve"> 2) Live Pitch/Demo </w:t>
            </w:r>
            <w:r w:rsidRPr="00680C94">
              <w:rPr>
                <w:rFonts w:ascii="Segoe UI Symbol" w:eastAsia="Times New Roman" w:hAnsi="Segoe UI Symbol" w:cs="Segoe UI Symbol"/>
                <w:color w:val="1F1F1F"/>
                <w:kern w:val="0"/>
                <w14:ligatures w14:val="none"/>
              </w:rPr>
              <w:t>➔</w:t>
            </w:r>
            <w:r w:rsidRPr="00680C94">
              <w:rPr>
                <w:rFonts w:ascii="Arial" w:eastAsia="Times New Roman" w:hAnsi="Arial" w:cs="Arial"/>
                <w:color w:val="1F1F1F"/>
                <w:kern w:val="0"/>
                <w14:ligatures w14:val="none"/>
              </w:rPr>
              <w:t xml:space="preserve"> 3) Full Proposal.</w:t>
            </w:r>
          </w:p>
        </w:tc>
      </w:tr>
      <w:tr w:rsidR="00680C94" w:rsidRPr="00680C94" w14:paraId="57141A7E" w14:textId="77777777">
        <w:tc>
          <w:tcPr>
            <w:tcW w:w="0" w:type="auto"/>
            <w:tcBorders>
              <w:bottom w:val="single" w:sz="4" w:space="0" w:color="E1E3E1"/>
            </w:tcBorders>
            <w:tcMar>
              <w:top w:w="120" w:type="dxa"/>
              <w:left w:w="120" w:type="dxa"/>
              <w:bottom w:w="120" w:type="dxa"/>
              <w:right w:w="120" w:type="dxa"/>
            </w:tcMar>
            <w:hideMark/>
          </w:tcPr>
          <w:p w14:paraId="2B237577"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The "Solution Basket"</w:t>
            </w:r>
          </w:p>
        </w:tc>
        <w:tc>
          <w:tcPr>
            <w:tcW w:w="0" w:type="auto"/>
            <w:tcBorders>
              <w:bottom w:val="single" w:sz="4" w:space="0" w:color="E1E3E1"/>
            </w:tcBorders>
            <w:tcMar>
              <w:top w:w="120" w:type="dxa"/>
              <w:left w:w="120" w:type="dxa"/>
              <w:bottom w:w="120" w:type="dxa"/>
              <w:right w:w="120" w:type="dxa"/>
            </w:tcMar>
            <w:hideMark/>
          </w:tcPr>
          <w:p w14:paraId="0A5E19E5"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Viable submissions not selected for immediate award are retained in an electronic basket for up to three (3) years, allowing the Government to initiate rapid awards if funding and requirements align.</w:t>
            </w:r>
          </w:p>
        </w:tc>
      </w:tr>
      <w:tr w:rsidR="00680C94" w:rsidRPr="00680C94" w14:paraId="0DD7C62C" w14:textId="77777777">
        <w:tc>
          <w:tcPr>
            <w:tcW w:w="0" w:type="auto"/>
            <w:tcBorders>
              <w:bottom w:val="nil"/>
            </w:tcBorders>
            <w:tcMar>
              <w:top w:w="120" w:type="dxa"/>
              <w:left w:w="120" w:type="dxa"/>
              <w:bottom w:w="120" w:type="dxa"/>
              <w:right w:w="120" w:type="dxa"/>
            </w:tcMar>
            <w:hideMark/>
          </w:tcPr>
          <w:p w14:paraId="3949255F"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Targeted Competition</w:t>
            </w:r>
          </w:p>
        </w:tc>
        <w:tc>
          <w:tcPr>
            <w:tcW w:w="0" w:type="auto"/>
            <w:tcBorders>
              <w:bottom w:val="nil"/>
            </w:tcBorders>
            <w:tcMar>
              <w:top w:w="120" w:type="dxa"/>
              <w:left w:w="120" w:type="dxa"/>
              <w:bottom w:w="120" w:type="dxa"/>
              <w:right w:w="120" w:type="dxa"/>
            </w:tcMar>
            <w:hideMark/>
          </w:tcPr>
          <w:p w14:paraId="462B7FEF"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Structured competition pools </w:t>
            </w:r>
            <w:proofErr w:type="gramStart"/>
            <w:r w:rsidRPr="00680C94">
              <w:rPr>
                <w:rFonts w:ascii="Arial" w:eastAsia="Times New Roman" w:hAnsi="Arial" w:cs="Arial"/>
                <w:color w:val="1F1F1F"/>
                <w:kern w:val="0"/>
                <w14:ligatures w14:val="none"/>
              </w:rPr>
              <w:t>designed</w:t>
            </w:r>
            <w:proofErr w:type="gramEnd"/>
            <w:r w:rsidRPr="00680C94">
              <w:rPr>
                <w:rFonts w:ascii="Arial" w:eastAsia="Times New Roman" w:hAnsi="Arial" w:cs="Arial"/>
                <w:color w:val="1F1F1F"/>
                <w:kern w:val="0"/>
                <w14:ligatures w14:val="none"/>
              </w:rPr>
              <w:t xml:space="preserve"> to maximize opportunities for Non-Traditional Defense Contractors (NDCs) and Small Businesses, alongside unrestricted full &amp; open competition.</w:t>
            </w:r>
          </w:p>
        </w:tc>
      </w:tr>
    </w:tbl>
    <w:p w14:paraId="655FBBA4" w14:textId="77777777" w:rsidR="00680C94" w:rsidRDefault="00680C94" w:rsidP="00CC1FE9">
      <w:pPr>
        <w:shd w:val="clear" w:color="auto" w:fill="FFFFFF"/>
        <w:spacing w:after="0" w:line="240" w:lineRule="auto"/>
        <w:rPr>
          <w:rFonts w:ascii="Arial" w:eastAsia="Times New Roman" w:hAnsi="Arial" w:cs="Arial"/>
          <w:b/>
          <w:bCs/>
          <w:color w:val="1F1F1F"/>
          <w:kern w:val="0"/>
          <w14:ligatures w14:val="none"/>
        </w:rPr>
      </w:pPr>
      <w:r w:rsidRPr="00680C94">
        <w:rPr>
          <w:rFonts w:ascii="Arial" w:eastAsia="Times New Roman" w:hAnsi="Arial" w:cs="Arial"/>
          <w:b/>
          <w:bCs/>
          <w:color w:val="1F1F1F"/>
          <w:kern w:val="0"/>
          <w14:ligatures w14:val="none"/>
        </w:rPr>
        <w:lastRenderedPageBreak/>
        <w:t>Eligibility and Compliance</w:t>
      </w:r>
    </w:p>
    <w:p w14:paraId="31D93D15" w14:textId="77777777" w:rsidR="00CC1FE9" w:rsidRPr="00680C94" w:rsidRDefault="00CC1FE9" w:rsidP="00CC1FE9">
      <w:pPr>
        <w:shd w:val="clear" w:color="auto" w:fill="FFFFFF"/>
        <w:spacing w:after="0" w:line="240" w:lineRule="auto"/>
        <w:rPr>
          <w:rFonts w:ascii="Arial" w:eastAsia="Times New Roman" w:hAnsi="Arial" w:cs="Arial"/>
          <w:b/>
          <w:bCs/>
          <w:color w:val="1F1F1F"/>
          <w:kern w:val="0"/>
          <w14:ligatures w14:val="none"/>
        </w:rPr>
      </w:pPr>
    </w:p>
    <w:p w14:paraId="24AE7B97" w14:textId="77777777" w:rsidR="00680C94" w:rsidRDefault="00680C94" w:rsidP="00680C94">
      <w:pPr>
        <w:shd w:val="clear" w:color="auto" w:fill="FFFFFF"/>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The </w:t>
      </w:r>
      <w:proofErr w:type="spellStart"/>
      <w:r w:rsidRPr="00680C94">
        <w:rPr>
          <w:rFonts w:ascii="Arial" w:eastAsia="Times New Roman" w:hAnsi="Arial" w:cs="Arial"/>
          <w:color w:val="1F1F1F"/>
          <w:kern w:val="0"/>
          <w14:ligatures w14:val="none"/>
        </w:rPr>
        <w:t>DoW</w:t>
      </w:r>
      <w:proofErr w:type="spellEnd"/>
      <w:r w:rsidRPr="00680C94">
        <w:rPr>
          <w:rFonts w:ascii="Arial" w:eastAsia="Times New Roman" w:hAnsi="Arial" w:cs="Arial"/>
          <w:color w:val="1F1F1F"/>
          <w:kern w:val="0"/>
          <w14:ligatures w14:val="none"/>
        </w:rPr>
        <w:t xml:space="preserve"> highly encourages participation from both traditional defense contractors and Non-Traditional Defense Contractors (NDCs). To be eligible for an award under this framework, prospective vendors must meet mandatory baseline requirements.</w:t>
      </w:r>
    </w:p>
    <w:p w14:paraId="5D1B7EEF" w14:textId="77777777" w:rsidR="00CC1FE9" w:rsidRPr="00680C94" w:rsidRDefault="00CC1FE9" w:rsidP="00680C94">
      <w:pPr>
        <w:shd w:val="clear" w:color="auto" w:fill="FFFFFF"/>
        <w:spacing w:after="0" w:line="240" w:lineRule="auto"/>
        <w:rPr>
          <w:rFonts w:ascii="Arial" w:eastAsia="Times New Roman" w:hAnsi="Arial" w:cs="Arial"/>
          <w:color w:val="1F1F1F"/>
          <w:kern w:val="0"/>
          <w14:ligatures w14:val="none"/>
        </w:rPr>
      </w:pPr>
    </w:p>
    <w:tbl>
      <w:tblPr>
        <w:tblW w:w="10620" w:type="dxa"/>
        <w:tblCellMar>
          <w:top w:w="15" w:type="dxa"/>
          <w:left w:w="15" w:type="dxa"/>
          <w:bottom w:w="15" w:type="dxa"/>
          <w:right w:w="15" w:type="dxa"/>
        </w:tblCellMar>
        <w:tblLook w:val="04A0" w:firstRow="1" w:lastRow="0" w:firstColumn="1" w:lastColumn="0" w:noHBand="0" w:noVBand="1"/>
      </w:tblPr>
      <w:tblGrid>
        <w:gridCol w:w="2020"/>
        <w:gridCol w:w="8600"/>
      </w:tblGrid>
      <w:tr w:rsidR="00680C94" w:rsidRPr="00680C94" w14:paraId="51FBF60A" w14:textId="77777777">
        <w:tc>
          <w:tcPr>
            <w:tcW w:w="0" w:type="auto"/>
            <w:tcBorders>
              <w:bottom w:val="single" w:sz="4" w:space="0" w:color="E1E3E1"/>
            </w:tcBorders>
            <w:tcMar>
              <w:top w:w="120" w:type="dxa"/>
              <w:left w:w="120" w:type="dxa"/>
              <w:bottom w:w="120" w:type="dxa"/>
              <w:right w:w="120" w:type="dxa"/>
            </w:tcMar>
            <w:hideMark/>
          </w:tcPr>
          <w:p w14:paraId="54C810BE" w14:textId="77777777" w:rsidR="00680C94" w:rsidRPr="00CC1FE9" w:rsidRDefault="00680C94" w:rsidP="00680C94">
            <w:pPr>
              <w:spacing w:after="0" w:line="240" w:lineRule="auto"/>
              <w:jc w:val="center"/>
              <w:rPr>
                <w:rFonts w:ascii="Arial" w:eastAsia="Times New Roman" w:hAnsi="Arial" w:cs="Arial"/>
                <w:b/>
                <w:bCs/>
                <w:color w:val="1F1F1F"/>
                <w:kern w:val="0"/>
                <w14:ligatures w14:val="none"/>
              </w:rPr>
            </w:pPr>
            <w:r w:rsidRPr="00CC1FE9">
              <w:rPr>
                <w:rFonts w:ascii="Arial" w:eastAsia="Times New Roman" w:hAnsi="Arial" w:cs="Arial"/>
                <w:b/>
                <w:bCs/>
                <w:color w:val="1F1F1F"/>
                <w:kern w:val="0"/>
                <w14:ligatures w14:val="none"/>
              </w:rPr>
              <w:t>Requirement Category</w:t>
            </w:r>
          </w:p>
        </w:tc>
        <w:tc>
          <w:tcPr>
            <w:tcW w:w="0" w:type="auto"/>
            <w:tcBorders>
              <w:bottom w:val="single" w:sz="4" w:space="0" w:color="E1E3E1"/>
            </w:tcBorders>
            <w:tcMar>
              <w:top w:w="120" w:type="dxa"/>
              <w:left w:w="120" w:type="dxa"/>
              <w:bottom w:w="120" w:type="dxa"/>
              <w:right w:w="120" w:type="dxa"/>
            </w:tcMar>
            <w:hideMark/>
          </w:tcPr>
          <w:p w14:paraId="1A372E67" w14:textId="77777777" w:rsidR="00680C94" w:rsidRPr="00CC1FE9" w:rsidRDefault="00680C94" w:rsidP="00680C94">
            <w:pPr>
              <w:spacing w:after="0" w:line="240" w:lineRule="auto"/>
              <w:jc w:val="center"/>
              <w:rPr>
                <w:rFonts w:ascii="Arial" w:eastAsia="Times New Roman" w:hAnsi="Arial" w:cs="Arial"/>
                <w:b/>
                <w:bCs/>
                <w:color w:val="1F1F1F"/>
                <w:kern w:val="0"/>
                <w14:ligatures w14:val="none"/>
              </w:rPr>
            </w:pPr>
            <w:r w:rsidRPr="00CC1FE9">
              <w:rPr>
                <w:rFonts w:ascii="Arial" w:eastAsia="Times New Roman" w:hAnsi="Arial" w:cs="Arial"/>
                <w:b/>
                <w:bCs/>
                <w:color w:val="1F1F1F"/>
                <w:kern w:val="0"/>
                <w14:ligatures w14:val="none"/>
              </w:rPr>
              <w:t>Compliance Details</w:t>
            </w:r>
          </w:p>
        </w:tc>
      </w:tr>
      <w:tr w:rsidR="00680C94" w:rsidRPr="00680C94" w14:paraId="35403EF3" w14:textId="77777777">
        <w:tc>
          <w:tcPr>
            <w:tcW w:w="0" w:type="auto"/>
            <w:tcBorders>
              <w:bottom w:val="single" w:sz="4" w:space="0" w:color="E1E3E1"/>
            </w:tcBorders>
            <w:tcMar>
              <w:top w:w="120" w:type="dxa"/>
              <w:left w:w="120" w:type="dxa"/>
              <w:bottom w:w="120" w:type="dxa"/>
              <w:right w:w="120" w:type="dxa"/>
            </w:tcMar>
            <w:hideMark/>
          </w:tcPr>
          <w:p w14:paraId="4A1AC88E"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System Registration</w:t>
            </w:r>
          </w:p>
        </w:tc>
        <w:tc>
          <w:tcPr>
            <w:tcW w:w="0" w:type="auto"/>
            <w:tcBorders>
              <w:bottom w:val="single" w:sz="4" w:space="0" w:color="E1E3E1"/>
            </w:tcBorders>
            <w:tcMar>
              <w:top w:w="120" w:type="dxa"/>
              <w:left w:w="120" w:type="dxa"/>
              <w:bottom w:w="120" w:type="dxa"/>
              <w:right w:w="120" w:type="dxa"/>
            </w:tcMar>
            <w:hideMark/>
          </w:tcPr>
          <w:p w14:paraId="008CD126"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 xml:space="preserve">Vendors must maintain an active SAM.gov registration, a Unique Entity Identification (UEI) number, and be registered in Wide Area </w:t>
            </w:r>
            <w:proofErr w:type="gramStart"/>
            <w:r w:rsidRPr="00680C94">
              <w:rPr>
                <w:rFonts w:ascii="Arial" w:eastAsia="Times New Roman" w:hAnsi="Arial" w:cs="Arial"/>
                <w:color w:val="1F1F1F"/>
                <w:kern w:val="0"/>
                <w14:ligatures w14:val="none"/>
              </w:rPr>
              <w:t>Work Flow</w:t>
            </w:r>
            <w:proofErr w:type="gramEnd"/>
            <w:r w:rsidRPr="00680C94">
              <w:rPr>
                <w:rFonts w:ascii="Arial" w:eastAsia="Times New Roman" w:hAnsi="Arial" w:cs="Arial"/>
                <w:color w:val="1F1F1F"/>
                <w:kern w:val="0"/>
                <w14:ligatures w14:val="none"/>
              </w:rPr>
              <w:t xml:space="preserve"> (WAWF) for invoicing.</w:t>
            </w:r>
          </w:p>
        </w:tc>
      </w:tr>
      <w:tr w:rsidR="00680C94" w:rsidRPr="00680C94" w14:paraId="00DF7EF5" w14:textId="77777777">
        <w:tc>
          <w:tcPr>
            <w:tcW w:w="0" w:type="auto"/>
            <w:tcBorders>
              <w:bottom w:val="single" w:sz="4" w:space="0" w:color="E1E3E1"/>
            </w:tcBorders>
            <w:tcMar>
              <w:top w:w="120" w:type="dxa"/>
              <w:left w:w="120" w:type="dxa"/>
              <w:bottom w:w="120" w:type="dxa"/>
              <w:right w:w="120" w:type="dxa"/>
            </w:tcMar>
            <w:hideMark/>
          </w:tcPr>
          <w:p w14:paraId="7CBBC731"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Security &amp; Export Control</w:t>
            </w:r>
          </w:p>
        </w:tc>
        <w:tc>
          <w:tcPr>
            <w:tcW w:w="0" w:type="auto"/>
            <w:tcBorders>
              <w:bottom w:val="single" w:sz="4" w:space="0" w:color="E1E3E1"/>
            </w:tcBorders>
            <w:tcMar>
              <w:top w:w="120" w:type="dxa"/>
              <w:left w:w="120" w:type="dxa"/>
              <w:bottom w:w="120" w:type="dxa"/>
              <w:right w:w="120" w:type="dxa"/>
            </w:tcMar>
            <w:hideMark/>
          </w:tcPr>
          <w:p w14:paraId="4AD5A31D" w14:textId="57C65BF9"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Strict adherence to the Arms Export Control Act,</w:t>
            </w:r>
            <w:r w:rsidR="00C00629">
              <w:rPr>
                <w:rFonts w:ascii="Arial" w:eastAsia="Times New Roman" w:hAnsi="Arial" w:cs="Arial"/>
                <w:color w:val="1F1F1F"/>
                <w:kern w:val="0"/>
                <w14:ligatures w14:val="none"/>
              </w:rPr>
              <w:t xml:space="preserve"> </w:t>
            </w:r>
            <w:r w:rsidR="00C00629" w:rsidRPr="00C00629">
              <w:rPr>
                <w:rFonts w:ascii="Arial" w:eastAsia="Times New Roman" w:hAnsi="Arial" w:cs="Arial"/>
                <w:color w:val="1F1F1F"/>
                <w:kern w:val="0"/>
                <w14:ligatures w14:val="none"/>
              </w:rPr>
              <w:t>International Traffic in Arms Regulations</w:t>
            </w:r>
            <w:r w:rsidRPr="00680C94">
              <w:rPr>
                <w:rFonts w:ascii="Arial" w:eastAsia="Times New Roman" w:hAnsi="Arial" w:cs="Arial"/>
                <w:color w:val="1F1F1F"/>
                <w:kern w:val="0"/>
                <w14:ligatures w14:val="none"/>
              </w:rPr>
              <w:t xml:space="preserve"> </w:t>
            </w:r>
            <w:r w:rsidR="00C00629">
              <w:rPr>
                <w:rFonts w:ascii="Arial" w:eastAsia="Times New Roman" w:hAnsi="Arial" w:cs="Arial"/>
                <w:color w:val="1F1F1F"/>
                <w:kern w:val="0"/>
                <w14:ligatures w14:val="none"/>
              </w:rPr>
              <w:t>(</w:t>
            </w:r>
            <w:r w:rsidRPr="00680C94">
              <w:rPr>
                <w:rFonts w:ascii="Arial" w:eastAsia="Times New Roman" w:hAnsi="Arial" w:cs="Arial"/>
                <w:color w:val="1F1F1F"/>
                <w:kern w:val="0"/>
                <w14:ligatures w14:val="none"/>
              </w:rPr>
              <w:t>ITAR</w:t>
            </w:r>
            <w:r w:rsidR="00C00629">
              <w:rPr>
                <w:rFonts w:ascii="Arial" w:eastAsia="Times New Roman" w:hAnsi="Arial" w:cs="Arial"/>
                <w:color w:val="1F1F1F"/>
                <w:kern w:val="0"/>
                <w14:ligatures w14:val="none"/>
              </w:rPr>
              <w:t>)</w:t>
            </w:r>
            <w:r w:rsidRPr="00680C94">
              <w:rPr>
                <w:rFonts w:ascii="Arial" w:eastAsia="Times New Roman" w:hAnsi="Arial" w:cs="Arial"/>
                <w:color w:val="1F1F1F"/>
                <w:kern w:val="0"/>
                <w14:ligatures w14:val="none"/>
              </w:rPr>
              <w:t>, and</w:t>
            </w:r>
            <w:r w:rsidR="00C00629">
              <w:rPr>
                <w:rFonts w:ascii="Arial" w:eastAsia="Times New Roman" w:hAnsi="Arial" w:cs="Arial"/>
                <w:color w:val="1F1F1F"/>
                <w:kern w:val="0"/>
                <w14:ligatures w14:val="none"/>
              </w:rPr>
              <w:t xml:space="preserve"> Export Administration Regulation</w:t>
            </w:r>
            <w:r w:rsidRPr="00680C94">
              <w:rPr>
                <w:rFonts w:ascii="Arial" w:eastAsia="Times New Roman" w:hAnsi="Arial" w:cs="Arial"/>
                <w:color w:val="1F1F1F"/>
                <w:kern w:val="0"/>
                <w14:ligatures w14:val="none"/>
              </w:rPr>
              <w:t xml:space="preserve"> </w:t>
            </w:r>
            <w:r w:rsidR="00C00629">
              <w:rPr>
                <w:rFonts w:ascii="Arial" w:eastAsia="Times New Roman" w:hAnsi="Arial" w:cs="Arial"/>
                <w:color w:val="1F1F1F"/>
                <w:kern w:val="0"/>
                <w14:ligatures w14:val="none"/>
              </w:rPr>
              <w:t>(</w:t>
            </w:r>
            <w:r w:rsidRPr="00680C94">
              <w:rPr>
                <w:rFonts w:ascii="Arial" w:eastAsia="Times New Roman" w:hAnsi="Arial" w:cs="Arial"/>
                <w:color w:val="1F1F1F"/>
                <w:kern w:val="0"/>
                <w14:ligatures w14:val="none"/>
              </w:rPr>
              <w:t>EAR</w:t>
            </w:r>
            <w:r w:rsidR="00C00629">
              <w:rPr>
                <w:rFonts w:ascii="Arial" w:eastAsia="Times New Roman" w:hAnsi="Arial" w:cs="Arial"/>
                <w:color w:val="1F1F1F"/>
                <w:kern w:val="0"/>
                <w14:ligatures w14:val="none"/>
              </w:rPr>
              <w:t>)</w:t>
            </w:r>
            <w:r w:rsidRPr="00680C94">
              <w:rPr>
                <w:rFonts w:ascii="Arial" w:eastAsia="Times New Roman" w:hAnsi="Arial" w:cs="Arial"/>
                <w:color w:val="1F1F1F"/>
                <w:kern w:val="0"/>
                <w14:ligatures w14:val="none"/>
              </w:rPr>
              <w:t xml:space="preserve"> is mandatory. Vendors must properly protect Controlled Unclassified Information (CUI) in accordance with NIST SP 800-171.</w:t>
            </w:r>
          </w:p>
        </w:tc>
      </w:tr>
      <w:tr w:rsidR="00680C94" w:rsidRPr="00680C94" w14:paraId="74D7905F" w14:textId="77777777">
        <w:tc>
          <w:tcPr>
            <w:tcW w:w="0" w:type="auto"/>
            <w:tcBorders>
              <w:bottom w:val="nil"/>
            </w:tcBorders>
            <w:tcMar>
              <w:top w:w="120" w:type="dxa"/>
              <w:left w:w="120" w:type="dxa"/>
              <w:bottom w:w="120" w:type="dxa"/>
              <w:right w:w="120" w:type="dxa"/>
            </w:tcMar>
            <w:hideMark/>
          </w:tcPr>
          <w:p w14:paraId="1916344E"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Consortium Application</w:t>
            </w:r>
          </w:p>
        </w:tc>
        <w:tc>
          <w:tcPr>
            <w:tcW w:w="0" w:type="auto"/>
            <w:tcBorders>
              <w:bottom w:val="nil"/>
            </w:tcBorders>
            <w:tcMar>
              <w:top w:w="120" w:type="dxa"/>
              <w:left w:w="120" w:type="dxa"/>
              <w:bottom w:w="120" w:type="dxa"/>
              <w:right w:w="120" w:type="dxa"/>
            </w:tcMar>
            <w:hideMark/>
          </w:tcPr>
          <w:p w14:paraId="03E149C4" w14:textId="77777777" w:rsidR="00680C94" w:rsidRPr="00680C94" w:rsidRDefault="00680C94" w:rsidP="00680C94">
            <w:pPr>
              <w:spacing w:after="0"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Prospective vendors must submit a formal Vendor Application and a signed Consortium Vendor Agreement (CVA) via the Government portal for GSC approval.</w:t>
            </w:r>
          </w:p>
        </w:tc>
      </w:tr>
    </w:tbl>
    <w:p w14:paraId="02208146" w14:textId="340C0B49" w:rsidR="00680C94" w:rsidRPr="00680C94" w:rsidRDefault="00680C94" w:rsidP="00680C94">
      <w:pPr>
        <w:shd w:val="clear" w:color="auto" w:fill="FFFFFF"/>
        <w:spacing w:before="100" w:beforeAutospacing="1" w:after="100" w:afterAutospacing="1" w:line="240" w:lineRule="auto"/>
        <w:rPr>
          <w:rFonts w:ascii="Arial" w:eastAsia="Times New Roman" w:hAnsi="Arial" w:cs="Arial"/>
          <w:b/>
          <w:bCs/>
          <w:color w:val="1F1F1F"/>
          <w:kern w:val="0"/>
          <w14:ligatures w14:val="none"/>
        </w:rPr>
      </w:pPr>
      <w:r w:rsidRPr="00680C94">
        <w:rPr>
          <w:rFonts w:ascii="Arial" w:eastAsia="Times New Roman" w:hAnsi="Arial" w:cs="Arial"/>
          <w:b/>
          <w:bCs/>
          <w:color w:val="1F1F1F"/>
          <w:kern w:val="0"/>
          <w14:ligatures w14:val="none"/>
        </w:rPr>
        <w:t>Next Steps</w:t>
      </w:r>
    </w:p>
    <w:p w14:paraId="4F16C643" w14:textId="03BAB87D" w:rsidR="00680C94" w:rsidRPr="00680C94" w:rsidRDefault="00680C94" w:rsidP="00680C94">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680C94">
        <w:rPr>
          <w:rFonts w:ascii="Arial" w:eastAsia="Times New Roman" w:hAnsi="Arial" w:cs="Arial"/>
          <w:color w:val="1F1F1F"/>
          <w:kern w:val="0"/>
          <w14:ligatures w14:val="none"/>
        </w:rPr>
        <w:t>For full details on governance, and the operational procedures of the Consortium, please review the attached</w:t>
      </w:r>
      <w:r>
        <w:rPr>
          <w:rFonts w:ascii="Arial" w:eastAsia="Times New Roman" w:hAnsi="Arial" w:cs="Arial"/>
          <w:color w:val="1F1F1F"/>
          <w:kern w:val="0"/>
          <w14:ligatures w14:val="none"/>
        </w:rPr>
        <w:t xml:space="preserve"> </w:t>
      </w:r>
      <w:r w:rsidRPr="00680C94">
        <w:rPr>
          <w:rFonts w:ascii="Arial" w:eastAsia="Times New Roman" w:hAnsi="Arial" w:cs="Arial"/>
          <w:color w:val="1F1F1F"/>
          <w:kern w:val="0"/>
          <w14:ligatures w14:val="none"/>
        </w:rPr>
        <w:t xml:space="preserve">Department of War Drone OTA Consortium Agreement. Interested vendors are instructed to </w:t>
      </w:r>
      <w:r>
        <w:rPr>
          <w:rFonts w:ascii="Arial" w:eastAsia="Times New Roman" w:hAnsi="Arial" w:cs="Arial"/>
          <w:color w:val="1F1F1F"/>
          <w:kern w:val="0"/>
          <w14:ligatures w14:val="none"/>
        </w:rPr>
        <w:t>fill out and submit</w:t>
      </w:r>
      <w:r w:rsidRPr="00680C94">
        <w:rPr>
          <w:rFonts w:ascii="Arial" w:eastAsia="Times New Roman" w:hAnsi="Arial" w:cs="Arial"/>
          <w:color w:val="1F1F1F"/>
          <w:kern w:val="0"/>
          <w14:ligatures w14:val="none"/>
        </w:rPr>
        <w:t xml:space="preserve"> the application </w:t>
      </w:r>
      <w:r>
        <w:rPr>
          <w:rFonts w:ascii="Arial" w:eastAsia="Times New Roman" w:hAnsi="Arial" w:cs="Arial"/>
          <w:color w:val="1F1F1F"/>
          <w:kern w:val="0"/>
          <w14:ligatures w14:val="none"/>
        </w:rPr>
        <w:t>form</w:t>
      </w:r>
      <w:r w:rsidRPr="00680C94">
        <w:rPr>
          <w:rFonts w:ascii="Arial" w:eastAsia="Times New Roman" w:hAnsi="Arial" w:cs="Arial"/>
          <w:color w:val="1F1F1F"/>
          <w:kern w:val="0"/>
          <w14:ligatures w14:val="none"/>
        </w:rPr>
        <w:t xml:space="preserve"> </w:t>
      </w:r>
      <w:r>
        <w:rPr>
          <w:rFonts w:ascii="Arial" w:eastAsia="Times New Roman" w:hAnsi="Arial" w:cs="Arial"/>
          <w:color w:val="1F1F1F"/>
          <w:kern w:val="0"/>
          <w14:ligatures w14:val="none"/>
        </w:rPr>
        <w:t xml:space="preserve">attachment and submit to </w:t>
      </w:r>
      <w:hyperlink r:id="rId4" w:history="1">
        <w:r w:rsidRPr="00E6517B">
          <w:rPr>
            <w:rStyle w:val="Hyperlink"/>
            <w:rFonts w:ascii="Arial" w:eastAsia="Times New Roman" w:hAnsi="Arial" w:cs="Arial"/>
            <w:kern w:val="0"/>
            <w14:ligatures w14:val="none"/>
          </w:rPr>
          <w:t>DMConsortium@army.mil</w:t>
        </w:r>
      </w:hyperlink>
      <w:r>
        <w:rPr>
          <w:rFonts w:ascii="Arial" w:eastAsia="Times New Roman" w:hAnsi="Arial" w:cs="Arial"/>
          <w:color w:val="1F1F1F"/>
          <w:kern w:val="0"/>
          <w14:ligatures w14:val="none"/>
        </w:rPr>
        <w:t xml:space="preserve"> </w:t>
      </w:r>
      <w:r w:rsidRPr="00680C94">
        <w:rPr>
          <w:rFonts w:ascii="Arial" w:eastAsia="Times New Roman" w:hAnsi="Arial" w:cs="Arial"/>
          <w:color w:val="1F1F1F"/>
          <w:kern w:val="0"/>
          <w14:ligatures w14:val="none"/>
        </w:rPr>
        <w:t>below to initiate the enrollment process.</w:t>
      </w:r>
    </w:p>
    <w:p w14:paraId="5BB950B9" w14:textId="77777777" w:rsidR="005047AC" w:rsidRPr="00680C94" w:rsidRDefault="005047AC">
      <w:pPr>
        <w:rPr>
          <w:rFonts w:ascii="Arial" w:hAnsi="Arial" w:cs="Arial"/>
        </w:rPr>
      </w:pPr>
    </w:p>
    <w:sectPr w:rsidR="005047AC" w:rsidRPr="00680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94"/>
    <w:rsid w:val="005047AC"/>
    <w:rsid w:val="006154E2"/>
    <w:rsid w:val="00680C94"/>
    <w:rsid w:val="00AA24EE"/>
    <w:rsid w:val="00C00629"/>
    <w:rsid w:val="00C577D2"/>
    <w:rsid w:val="00C85A74"/>
    <w:rsid w:val="00CC1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BD57"/>
  <w15:chartTrackingRefBased/>
  <w15:docId w15:val="{94B4A164-F7B2-47A2-8D37-E6CB1DCEA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C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0C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C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C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C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C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C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C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C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C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C94"/>
    <w:rPr>
      <w:rFonts w:eastAsiaTheme="majorEastAsia" w:cstheme="majorBidi"/>
      <w:color w:val="272727" w:themeColor="text1" w:themeTint="D8"/>
    </w:rPr>
  </w:style>
  <w:style w:type="paragraph" w:styleId="Title">
    <w:name w:val="Title"/>
    <w:basedOn w:val="Normal"/>
    <w:next w:val="Normal"/>
    <w:link w:val="TitleChar"/>
    <w:uiPriority w:val="10"/>
    <w:qFormat/>
    <w:rsid w:val="00680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C94"/>
    <w:pPr>
      <w:spacing w:before="160"/>
      <w:jc w:val="center"/>
    </w:pPr>
    <w:rPr>
      <w:i/>
      <w:iCs/>
      <w:color w:val="404040" w:themeColor="text1" w:themeTint="BF"/>
    </w:rPr>
  </w:style>
  <w:style w:type="character" w:customStyle="1" w:styleId="QuoteChar">
    <w:name w:val="Quote Char"/>
    <w:basedOn w:val="DefaultParagraphFont"/>
    <w:link w:val="Quote"/>
    <w:uiPriority w:val="29"/>
    <w:rsid w:val="00680C94"/>
    <w:rPr>
      <w:i/>
      <w:iCs/>
      <w:color w:val="404040" w:themeColor="text1" w:themeTint="BF"/>
    </w:rPr>
  </w:style>
  <w:style w:type="paragraph" w:styleId="ListParagraph">
    <w:name w:val="List Paragraph"/>
    <w:basedOn w:val="Normal"/>
    <w:uiPriority w:val="34"/>
    <w:qFormat/>
    <w:rsid w:val="00680C94"/>
    <w:pPr>
      <w:ind w:left="720"/>
      <w:contextualSpacing/>
    </w:pPr>
  </w:style>
  <w:style w:type="character" w:styleId="IntenseEmphasis">
    <w:name w:val="Intense Emphasis"/>
    <w:basedOn w:val="DefaultParagraphFont"/>
    <w:uiPriority w:val="21"/>
    <w:qFormat/>
    <w:rsid w:val="00680C94"/>
    <w:rPr>
      <w:i/>
      <w:iCs/>
      <w:color w:val="0F4761" w:themeColor="accent1" w:themeShade="BF"/>
    </w:rPr>
  </w:style>
  <w:style w:type="paragraph" w:styleId="IntenseQuote">
    <w:name w:val="Intense Quote"/>
    <w:basedOn w:val="Normal"/>
    <w:next w:val="Normal"/>
    <w:link w:val="IntenseQuoteChar"/>
    <w:uiPriority w:val="30"/>
    <w:qFormat/>
    <w:rsid w:val="00680C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C94"/>
    <w:rPr>
      <w:i/>
      <w:iCs/>
      <w:color w:val="0F4761" w:themeColor="accent1" w:themeShade="BF"/>
    </w:rPr>
  </w:style>
  <w:style w:type="character" w:styleId="IntenseReference">
    <w:name w:val="Intense Reference"/>
    <w:basedOn w:val="DefaultParagraphFont"/>
    <w:uiPriority w:val="32"/>
    <w:qFormat/>
    <w:rsid w:val="00680C94"/>
    <w:rPr>
      <w:b/>
      <w:bCs/>
      <w:smallCaps/>
      <w:color w:val="0F4761" w:themeColor="accent1" w:themeShade="BF"/>
      <w:spacing w:val="5"/>
    </w:rPr>
  </w:style>
  <w:style w:type="character" w:styleId="Hyperlink">
    <w:name w:val="Hyperlink"/>
    <w:basedOn w:val="DefaultParagraphFont"/>
    <w:uiPriority w:val="99"/>
    <w:unhideWhenUsed/>
    <w:rsid w:val="00680C94"/>
    <w:rPr>
      <w:color w:val="467886" w:themeColor="hyperlink"/>
      <w:u w:val="single"/>
    </w:rPr>
  </w:style>
  <w:style w:type="character" w:styleId="UnresolvedMention">
    <w:name w:val="Unresolved Mention"/>
    <w:basedOn w:val="DefaultParagraphFont"/>
    <w:uiPriority w:val="99"/>
    <w:semiHidden/>
    <w:unhideWhenUsed/>
    <w:rsid w:val="00680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MConsortium@army.mil"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5116646CDD934F91FF22FF80FAF925" ma:contentTypeVersion="15" ma:contentTypeDescription="Create a new document." ma:contentTypeScope="" ma:versionID="9c2325f5d78db3af99fc9a0cc3be2c73">
  <xsd:schema xmlns:xsd="http://www.w3.org/2001/XMLSchema" xmlns:xs="http://www.w3.org/2001/XMLSchema" xmlns:p="http://schemas.microsoft.com/office/2006/metadata/properties" xmlns:ns1="http://schemas.microsoft.com/sharepoint/v3" xmlns:ns2="67f4e8ae-4214-4bd6-88fe-f09788c7d790" xmlns:ns3="56c1bb6a-8cc9-4099-9a1d-dd58dce291bd" targetNamespace="http://schemas.microsoft.com/office/2006/metadata/properties" ma:root="true" ma:fieldsID="148716fd3dbaf6c6f452b56d08278622" ns1:_="" ns2:_="" ns3:_="">
    <xsd:import namespace="http://schemas.microsoft.com/sharepoint/v3"/>
    <xsd:import namespace="67f4e8ae-4214-4bd6-88fe-f09788c7d790"/>
    <xsd:import namespace="56c1bb6a-8cc9-4099-9a1d-dd58dce291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f4e8ae-4214-4bd6-88fe-f09788c7d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1bb6a-8cc9-4099-9a1d-dd58dce291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6b14196-b413-4d5b-9b22-9c8a94831137}" ma:internalName="TaxCatchAll" ma:showField="CatchAllData" ma:web="56c1bb6a-8cc9-4099-9a1d-dd58dce29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6c1bb6a-8cc9-4099-9a1d-dd58dce291bd" xsi:nil="true"/>
    <lcf76f155ced4ddcb4097134ff3c332f xmlns="67f4e8ae-4214-4bd6-88fe-f09788c7d790">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3E3140A7-EC6E-4F15-8694-C931A48ECFD8}"/>
</file>

<file path=customXml/itemProps2.xml><?xml version="1.0" encoding="utf-8"?>
<ds:datastoreItem xmlns:ds="http://schemas.openxmlformats.org/officeDocument/2006/customXml" ds:itemID="{4042A934-EB66-4188-B0C3-EB2A4454896B}"/>
</file>

<file path=customXml/itemProps3.xml><?xml version="1.0" encoding="utf-8"?>
<ds:datastoreItem xmlns:ds="http://schemas.openxmlformats.org/officeDocument/2006/customXml" ds:itemID="{F730A62C-E1A5-4C39-8436-F1C896A56533}"/>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3027</Characters>
  <Application>Microsoft Office Word</Application>
  <DocSecurity>4</DocSecurity>
  <Lines>79</Lines>
  <Paragraphs>36</Paragraphs>
  <ScaleCrop>false</ScaleCrop>
  <HeadingPairs>
    <vt:vector size="2" baseType="variant">
      <vt:variant>
        <vt:lpstr>Title</vt:lpstr>
      </vt:variant>
      <vt:variant>
        <vt:i4>1</vt:i4>
      </vt:variant>
    </vt:vector>
  </HeadingPairs>
  <TitlesOfParts>
    <vt:vector size="1" baseType="lpstr">
      <vt:lpstr/>
    </vt:vector>
  </TitlesOfParts>
  <Company>Army Golden Master Program</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Waldrep, Kelly M CTR USARMY CPE AVN (USA)</dc:creator>
  <cp:keywords/>
  <dc:description/>
  <cp:lastModifiedBy>Holmes, Benjamin R CIV USARMY CPE AVN (USA)</cp:lastModifiedBy>
  <cp:revision>2</cp:revision>
  <dcterms:created xsi:type="dcterms:W3CDTF">2026-05-29T15:11:00Z</dcterms:created>
  <dcterms:modified xsi:type="dcterms:W3CDTF">2026-05-29T15:11:00Z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0x010100EB5116646CDD934F91FF22FF80FAF925</vt:lpwstr>
  </property>
</Properties>
</file>